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4DEA043">
      <w:pPr>
        <w:snapToGrid w:val="0"/>
        <w:spacing w:after="156" w:afterLines="50"/>
        <w:rPr>
          <w:rFonts w:ascii="方正黑体_GBK" w:hAnsi="方正黑体_GBK" w:eastAsia="方正黑体_GBK" w:cs="方正黑体_GBK"/>
          <w:bCs/>
          <w:sz w:val="32"/>
          <w:szCs w:val="32"/>
        </w:rPr>
      </w:pPr>
      <w:bookmarkStart w:id="0" w:name="_GoBack"/>
      <w:bookmarkEnd w:id="0"/>
      <w:r>
        <w:rPr>
          <w:rFonts w:hint="eastAsia" w:ascii="方正黑体_GBK" w:hAnsi="方正黑体_GBK" w:eastAsia="方正黑体_GBK" w:cs="方正黑体_GBK"/>
          <w:bCs/>
          <w:sz w:val="32"/>
          <w:szCs w:val="32"/>
        </w:rPr>
        <w:t>附件</w:t>
      </w:r>
    </w:p>
    <w:p w14:paraId="4BB6A458">
      <w:pPr>
        <w:spacing w:line="360" w:lineRule="auto"/>
        <w:jc w:val="center"/>
        <w:rPr>
          <w:rFonts w:ascii="黑体" w:hAnsi="黑体" w:eastAsia="黑体"/>
          <w:sz w:val="36"/>
          <w:szCs w:val="36"/>
        </w:rPr>
      </w:pPr>
      <w:r>
        <w:rPr>
          <w:rFonts w:hint="eastAsia" w:ascii="黑体" w:hAnsi="黑体" w:eastAsia="黑体"/>
          <w:sz w:val="36"/>
          <w:szCs w:val="36"/>
        </w:rPr>
        <w:t>操作手册</w:t>
      </w:r>
    </w:p>
    <w:p w14:paraId="3CBF6FEC">
      <w:pPr>
        <w:numPr>
          <w:ilvl w:val="0"/>
          <w:numId w:val="1"/>
        </w:numPr>
        <w:spacing w:line="360" w:lineRule="auto"/>
        <w:jc w:val="left"/>
        <w:rPr>
          <w:rFonts w:ascii="仿宋" w:hAnsi="仿宋" w:eastAsia="仿宋"/>
          <w:sz w:val="36"/>
          <w:szCs w:val="36"/>
        </w:rPr>
      </w:pPr>
      <w:r>
        <w:rPr>
          <w:rFonts w:hint="eastAsia" w:ascii="仿宋" w:hAnsi="仿宋" w:eastAsia="仿宋"/>
          <w:sz w:val="36"/>
          <w:szCs w:val="36"/>
        </w:rPr>
        <w:t>系统登录</w:t>
      </w:r>
    </w:p>
    <w:p w14:paraId="28E47EE8">
      <w:pPr>
        <w:spacing w:line="360" w:lineRule="auto"/>
        <w:jc w:val="left"/>
        <w:rPr>
          <w:rFonts w:ascii="仿宋" w:hAnsi="仿宋" w:eastAsia="仿宋" w:cs="楷体_GB2312"/>
          <w:color w:val="000000"/>
          <w:sz w:val="24"/>
        </w:rPr>
      </w:pPr>
      <w:r>
        <w:rPr>
          <w:rFonts w:hint="eastAsia" w:ascii="仿宋" w:hAnsi="仿宋" w:eastAsia="仿宋" w:cs="楷体_GB2312"/>
          <w:color w:val="000000"/>
          <w:sz w:val="24"/>
        </w:rPr>
        <w:t>（1）通过门户网站进行登录，打开(</w:t>
      </w:r>
      <w:r>
        <w:fldChar w:fldCharType="begin"/>
      </w:r>
      <w:r>
        <w:instrText xml:space="preserve"> HYPERLINK "http://www.jslecb.cn" </w:instrText>
      </w:r>
      <w:r>
        <w:fldChar w:fldCharType="separate"/>
      </w:r>
      <w:r>
        <w:rPr>
          <w:rStyle w:val="7"/>
          <w:rFonts w:ascii="仿宋" w:hAnsi="仿宋" w:eastAsia="仿宋" w:cs="楷体_GB2312"/>
          <w:sz w:val="24"/>
        </w:rPr>
        <w:t>http://www.jslecb.cn</w:t>
      </w:r>
      <w:r>
        <w:rPr>
          <w:rStyle w:val="7"/>
          <w:rFonts w:ascii="仿宋" w:hAnsi="仿宋" w:eastAsia="仿宋" w:cs="楷体_GB2312"/>
          <w:sz w:val="24"/>
        </w:rPr>
        <w:fldChar w:fldCharType="end"/>
      </w:r>
      <w:r>
        <w:rPr>
          <w:rFonts w:ascii="仿宋" w:hAnsi="仿宋" w:eastAsia="仿宋" w:cs="楷体_GB2312"/>
          <w:color w:val="000000"/>
          <w:sz w:val="24"/>
        </w:rPr>
        <w:t>)</w:t>
      </w:r>
      <w:r>
        <w:rPr>
          <w:rFonts w:hint="eastAsia" w:ascii="仿宋" w:hAnsi="仿宋" w:eastAsia="仿宋" w:cs="楷体_GB2312"/>
          <w:color w:val="000000"/>
          <w:sz w:val="24"/>
        </w:rPr>
        <w:t>，点击下图任一红框处。</w:t>
      </w:r>
    </w:p>
    <w:p w14:paraId="7CBC44D3">
      <w:pPr>
        <w:spacing w:before="200" w:line="360" w:lineRule="auto"/>
        <w:jc w:val="left"/>
        <w:rPr>
          <w:rFonts w:ascii="仿宋" w:hAnsi="仿宋" w:eastAsia="仿宋" w:cs="宋体"/>
          <w:kern w:val="0"/>
          <w:sz w:val="24"/>
        </w:rPr>
      </w:pPr>
      <w:r>
        <w:drawing>
          <wp:inline distT="0" distB="0" distL="0" distR="0">
            <wp:extent cx="5274310" cy="4514215"/>
            <wp:effectExtent l="0" t="0" r="2540" b="63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14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6313B0">
      <w:pPr>
        <w:spacing w:before="200" w:line="360" w:lineRule="auto"/>
        <w:jc w:val="center"/>
        <w:rPr>
          <w:rFonts w:ascii="仿宋" w:hAnsi="仿宋" w:eastAsia="仿宋" w:cs="楷体_GB2312"/>
          <w:color w:val="000000"/>
          <w:sz w:val="24"/>
        </w:rPr>
      </w:pPr>
      <w:r>
        <w:rPr>
          <w:rFonts w:hint="eastAsia" w:ascii="仿宋" w:hAnsi="仿宋" w:eastAsia="仿宋" w:cs="宋体"/>
          <w:kern w:val="0"/>
          <w:sz w:val="24"/>
        </w:rPr>
        <w:t>（注：如点击登录后无反应，请查看浏览器是否设置了阻止弹窗）</w:t>
      </w:r>
    </w:p>
    <w:p w14:paraId="1173A235">
      <w:pPr>
        <w:spacing w:before="200" w:line="360" w:lineRule="auto"/>
        <w:jc w:val="left"/>
        <w:rPr>
          <w:rFonts w:ascii="仿宋" w:hAnsi="仿宋" w:eastAsia="仿宋"/>
          <w:sz w:val="24"/>
        </w:rPr>
      </w:pPr>
      <w:r>
        <w:rPr>
          <w:rFonts w:hint="eastAsia" w:ascii="仿宋" w:hAnsi="仿宋" w:eastAsia="仿宋" w:cs="楷体_GB2312"/>
          <w:color w:val="000000"/>
          <w:sz w:val="24"/>
        </w:rPr>
        <w:t>（2）通过独立的登录界面进行登录，打开(</w:t>
      </w:r>
      <w:r>
        <w:fldChar w:fldCharType="begin"/>
      </w:r>
      <w:r>
        <w:instrText xml:space="preserve"> HYPERLINK "http://pub.jslecb.cn" </w:instrText>
      </w:r>
      <w:r>
        <w:fldChar w:fldCharType="separate"/>
      </w:r>
      <w:r>
        <w:rPr>
          <w:rStyle w:val="8"/>
          <w:rFonts w:ascii="仿宋" w:hAnsi="仿宋" w:eastAsia="仿宋" w:cs="楷体_GB2312"/>
          <w:sz w:val="24"/>
        </w:rPr>
        <w:t>http://pub.jslecb.cn</w:t>
      </w:r>
      <w:r>
        <w:rPr>
          <w:rStyle w:val="8"/>
          <w:rFonts w:ascii="仿宋" w:hAnsi="仿宋" w:eastAsia="仿宋" w:cs="楷体_GB2312"/>
          <w:sz w:val="24"/>
        </w:rPr>
        <w:fldChar w:fldCharType="end"/>
      </w:r>
      <w:r>
        <w:rPr>
          <w:rFonts w:ascii="仿宋" w:hAnsi="仿宋" w:eastAsia="仿宋" w:cs="楷体_GB2312"/>
          <w:color w:val="000000"/>
          <w:sz w:val="24"/>
        </w:rPr>
        <w:t>)。</w:t>
      </w:r>
    </w:p>
    <w:p w14:paraId="081B9922">
      <w:pPr>
        <w:spacing w:before="200" w:line="360" w:lineRule="auto"/>
        <w:jc w:val="left"/>
        <w:rPr>
          <w:rFonts w:ascii="仿宋" w:hAnsi="仿宋" w:eastAsia="仿宋"/>
          <w:sz w:val="24"/>
        </w:rPr>
      </w:pPr>
      <w:r>
        <w:drawing>
          <wp:inline distT="0" distB="0" distL="0" distR="0">
            <wp:extent cx="5274310" cy="3364230"/>
            <wp:effectExtent l="0" t="0" r="2540" b="762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64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72F4E">
      <w:pPr>
        <w:spacing w:before="200" w:line="360" w:lineRule="auto"/>
        <w:jc w:val="left"/>
        <w:rPr>
          <w:rFonts w:ascii="仿宋" w:hAnsi="仿宋" w:eastAsia="仿宋"/>
          <w:sz w:val="24"/>
        </w:rPr>
      </w:pPr>
      <w:r>
        <w:rPr>
          <w:rFonts w:hint="eastAsia" w:ascii="仿宋" w:hAnsi="仿宋" w:eastAsia="仿宋" w:cs="楷体_GB2312"/>
          <w:color w:val="000000"/>
          <w:sz w:val="24"/>
        </w:rPr>
        <w:t>（3）点击“登录学分银行”跳转到“江苏政务服务网”登录。</w:t>
      </w:r>
    </w:p>
    <w:p w14:paraId="3784C349">
      <w:pPr>
        <w:spacing w:line="360" w:lineRule="auto"/>
        <w:jc w:val="left"/>
        <w:rPr>
          <w:rFonts w:ascii="仿宋" w:hAnsi="仿宋" w:eastAsia="仿宋"/>
          <w:sz w:val="24"/>
        </w:rPr>
      </w:pPr>
      <w:r>
        <w:drawing>
          <wp:inline distT="0" distB="0" distL="0" distR="0">
            <wp:extent cx="5270500" cy="4304665"/>
            <wp:effectExtent l="0" t="0" r="6350" b="63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30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629F54">
      <w:pPr>
        <w:numPr>
          <w:ilvl w:val="0"/>
          <w:numId w:val="1"/>
        </w:numPr>
        <w:spacing w:line="360" w:lineRule="auto"/>
        <w:jc w:val="left"/>
        <w:rPr>
          <w:rFonts w:ascii="仿宋" w:hAnsi="仿宋" w:eastAsia="仿宋"/>
          <w:sz w:val="36"/>
          <w:szCs w:val="36"/>
        </w:rPr>
      </w:pPr>
      <w:r>
        <w:rPr>
          <w:rFonts w:hint="eastAsia" w:ascii="仿宋" w:hAnsi="仿宋" w:eastAsia="仿宋"/>
          <w:sz w:val="36"/>
          <w:szCs w:val="36"/>
        </w:rPr>
        <w:t>注册开户</w:t>
      </w:r>
    </w:p>
    <w:p w14:paraId="1F5588CA">
      <w:pPr>
        <w:spacing w:line="360" w:lineRule="auto"/>
        <w:rPr>
          <w:rFonts w:ascii="仿宋" w:hAnsi="仿宋" w:eastAsia="仿宋" w:cs="楷体_GB2312"/>
          <w:color w:val="000000"/>
          <w:sz w:val="24"/>
        </w:rPr>
      </w:pPr>
      <w:r>
        <w:rPr>
          <w:rFonts w:hint="eastAsia" w:ascii="仿宋" w:hAnsi="仿宋" w:eastAsia="仿宋" w:cs="楷体_GB2312"/>
          <w:color w:val="000000"/>
          <w:sz w:val="24"/>
        </w:rPr>
        <w:t>（1）点击“登录学分银行”跳转到“江苏政务服务网”，点击“立即注册”填写个人信息进行注册。注册完成后，就可以进行日常业务操作了。</w:t>
      </w:r>
    </w:p>
    <w:p w14:paraId="704F3709">
      <w:pPr>
        <w:spacing w:before="200" w:line="360" w:lineRule="auto"/>
        <w:rPr>
          <w:rFonts w:ascii="仿宋" w:hAnsi="仿宋" w:eastAsia="仿宋" w:cs="楷体_GB2312"/>
          <w:color w:val="000000"/>
          <w:sz w:val="24"/>
        </w:rPr>
      </w:pPr>
      <w:r>
        <w:drawing>
          <wp:inline distT="0" distB="0" distL="0" distR="0">
            <wp:extent cx="5274310" cy="5772785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773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754A77F8">
      <w:pPr>
        <w:spacing w:before="200" w:line="360" w:lineRule="auto"/>
        <w:jc w:val="center"/>
        <w:rPr>
          <w:rFonts w:ascii="仿宋" w:hAnsi="仿宋" w:eastAsia="仿宋"/>
        </w:rPr>
      </w:pPr>
    </w:p>
    <w:p w14:paraId="1BE58C6D">
      <w:pPr>
        <w:numPr>
          <w:ilvl w:val="0"/>
          <w:numId w:val="1"/>
        </w:numPr>
        <w:spacing w:line="360" w:lineRule="auto"/>
        <w:jc w:val="left"/>
        <w:rPr>
          <w:rFonts w:ascii="仿宋" w:hAnsi="仿宋" w:eastAsia="仿宋"/>
          <w:sz w:val="36"/>
          <w:szCs w:val="36"/>
        </w:rPr>
      </w:pPr>
      <w:r>
        <w:rPr>
          <w:rFonts w:hint="eastAsia" w:ascii="仿宋" w:hAnsi="仿宋" w:eastAsia="仿宋"/>
          <w:sz w:val="36"/>
          <w:szCs w:val="36"/>
        </w:rPr>
        <w:t>成果认证</w:t>
      </w:r>
    </w:p>
    <w:p w14:paraId="32A85A0D">
      <w:pPr>
        <w:spacing w:line="360" w:lineRule="auto"/>
        <w:ind w:firstLine="480" w:firstLineChars="200"/>
        <w:jc w:val="left"/>
        <w:rPr>
          <w:rFonts w:ascii="仿宋" w:hAnsi="仿宋" w:eastAsia="仿宋" w:cs="楷体_GB2312"/>
          <w:color w:val="000000"/>
          <w:sz w:val="24"/>
        </w:rPr>
      </w:pPr>
      <w:r>
        <w:rPr>
          <w:rFonts w:hint="eastAsia" w:ascii="仿宋" w:hAnsi="仿宋" w:eastAsia="仿宋" w:cs="楷体_GB2312"/>
          <w:color w:val="000000"/>
          <w:sz w:val="24"/>
        </w:rPr>
        <w:t>点击业务操作—成果认证，显示当前用户名下的所有个人成果，并可以查看明细，点击添加学习成果可以增加新的学习成果。</w:t>
      </w:r>
    </w:p>
    <w:p w14:paraId="507BC57D">
      <w:pPr>
        <w:spacing w:line="360" w:lineRule="auto"/>
        <w:ind w:left="360"/>
        <w:jc w:val="left"/>
      </w:pPr>
      <w:r>
        <w:drawing>
          <wp:inline distT="0" distB="0" distL="114300" distR="114300">
            <wp:extent cx="5278755" cy="1628775"/>
            <wp:effectExtent l="0" t="0" r="17145" b="9525"/>
            <wp:docPr id="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9B8FF2">
      <w:pPr>
        <w:spacing w:line="360" w:lineRule="auto"/>
        <w:jc w:val="left"/>
      </w:pPr>
      <w:r>
        <w:rPr>
          <w:rFonts w:hint="eastAsia" w:ascii="仿宋" w:hAnsi="仿宋" w:eastAsia="仿宋" w:cs="楷体_GB2312"/>
          <w:color w:val="000000"/>
          <w:sz w:val="24"/>
        </w:rPr>
        <w:t>（1）选择新建非学历，增加新的非学历学习成果。</w:t>
      </w:r>
    </w:p>
    <w:p w14:paraId="38AB47DB">
      <w:pPr>
        <w:spacing w:line="360" w:lineRule="auto"/>
        <w:ind w:left="1440"/>
        <w:jc w:val="center"/>
      </w:pPr>
      <w:r>
        <w:drawing>
          <wp:inline distT="0" distB="0" distL="114300" distR="114300">
            <wp:extent cx="1695450" cy="1362710"/>
            <wp:effectExtent l="0" t="0" r="0" b="8890"/>
            <wp:docPr id="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36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9C3CDB">
      <w:pPr>
        <w:spacing w:line="360" w:lineRule="auto"/>
        <w:jc w:val="left"/>
        <w:rPr>
          <w:rFonts w:ascii="仿宋" w:hAnsi="仿宋" w:eastAsia="仿宋" w:cs="楷体_GB2312"/>
          <w:color w:val="000000"/>
          <w:sz w:val="24"/>
        </w:rPr>
      </w:pPr>
      <w:r>
        <w:rPr>
          <w:rFonts w:hint="eastAsia" w:ascii="仿宋" w:hAnsi="仿宋" w:eastAsia="仿宋" w:cs="楷体_GB2312"/>
          <w:color w:val="000000"/>
          <w:sz w:val="24"/>
        </w:rPr>
        <w:t>（2）以“学习强国”为例，在成果名称栏输入学习强国，从下拉框中选择与年度获得积分相匹配的成果名称，并上传证明材料（大小在2</w:t>
      </w:r>
      <w:r>
        <w:rPr>
          <w:rFonts w:ascii="仿宋" w:hAnsi="仿宋" w:eastAsia="仿宋" w:cs="楷体_GB2312"/>
          <w:color w:val="000000"/>
          <w:sz w:val="24"/>
        </w:rPr>
        <w:t>M</w:t>
      </w:r>
      <w:r>
        <w:rPr>
          <w:rFonts w:hint="eastAsia" w:ascii="仿宋" w:hAnsi="仿宋" w:eastAsia="仿宋" w:cs="楷体_GB2312"/>
          <w:color w:val="000000"/>
          <w:sz w:val="24"/>
        </w:rPr>
        <w:t>以下），输入该年度学习强国积分数，选择成果取得时间和获得方式后，提交认证申请。（注：推荐使用360或谷歌浏览器）</w:t>
      </w:r>
    </w:p>
    <w:p w14:paraId="4E0F9B4F">
      <w:pPr>
        <w:spacing w:line="360" w:lineRule="auto"/>
        <w:jc w:val="left"/>
        <w:rPr>
          <w:rFonts w:ascii="仿宋" w:hAnsi="仿宋" w:eastAsia="仿宋" w:cs="楷体_GB2312"/>
          <w:color w:val="000000"/>
          <w:sz w:val="24"/>
        </w:rPr>
      </w:pPr>
      <w:r>
        <w:drawing>
          <wp:inline distT="0" distB="0" distL="0" distR="0">
            <wp:extent cx="5512435" cy="396430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25311" cy="3973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E81B2F">
      <w:pPr>
        <w:spacing w:line="360" w:lineRule="auto"/>
        <w:jc w:val="left"/>
        <w:rPr>
          <w:rFonts w:ascii="仿宋" w:hAnsi="仿宋" w:eastAsia="仿宋" w:cs="楷体_GB2312"/>
          <w:color w:val="000000"/>
          <w:sz w:val="24"/>
        </w:rPr>
      </w:pPr>
      <w:r>
        <w:rPr>
          <w:rFonts w:hint="eastAsia" w:ascii="仿宋" w:hAnsi="仿宋" w:eastAsia="仿宋" w:cs="楷体_GB2312"/>
          <w:color w:val="000000"/>
          <w:sz w:val="24"/>
        </w:rPr>
        <w:t>证明材料示例：</w:t>
      </w:r>
    </w:p>
    <w:p w14:paraId="29FA3C88">
      <w:pPr>
        <w:spacing w:line="360" w:lineRule="auto"/>
        <w:jc w:val="left"/>
        <w:rPr>
          <w:rFonts w:ascii="仿宋" w:hAnsi="仿宋" w:eastAsia="仿宋" w:cs="楷体_GB2312"/>
          <w:color w:val="000000"/>
          <w:sz w:val="24"/>
        </w:rPr>
        <w:sectPr>
          <w:footerReference r:id="rId3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1A89B28C">
      <w:pPr>
        <w:spacing w:line="360" w:lineRule="auto"/>
        <w:jc w:val="left"/>
        <w:rPr>
          <w:rFonts w:ascii="仿宋" w:hAnsi="仿宋" w:eastAsia="仿宋" w:cs="楷体_GB2312"/>
          <w:color w:val="000000"/>
          <w:sz w:val="24"/>
        </w:rPr>
        <w:sectPr>
          <w:type w:val="continuous"/>
          <w:pgSz w:w="11906" w:h="16838"/>
          <w:pgMar w:top="1440" w:right="1800" w:bottom="1440" w:left="1800" w:header="851" w:footer="992" w:gutter="0"/>
          <w:cols w:equalWidth="0" w:num="2">
            <w:col w:w="3940" w:space="425"/>
            <w:col w:w="3940"/>
          </w:cols>
          <w:docGrid w:type="lines" w:linePitch="312" w:charSpace="0"/>
        </w:sectPr>
      </w:pPr>
      <w:r>
        <w:drawing>
          <wp:inline distT="0" distB="0" distL="0" distR="0">
            <wp:extent cx="2408555" cy="5212715"/>
            <wp:effectExtent l="0" t="0" r="0" b="698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8555" cy="521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hAnsi="仿宋" w:eastAsia="仿宋" w:cs="楷体_GB2312"/>
          <w:color w:val="000000"/>
          <w:sz w:val="24"/>
        </w:rPr>
        <w:drawing>
          <wp:inline distT="0" distB="0" distL="0" distR="0">
            <wp:extent cx="2408555" cy="5212715"/>
            <wp:effectExtent l="0" t="0" r="0" b="698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8555" cy="521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CBE4E">
      <w:pPr>
        <w:numPr>
          <w:ilvl w:val="0"/>
          <w:numId w:val="1"/>
        </w:numPr>
        <w:spacing w:line="360" w:lineRule="auto"/>
        <w:jc w:val="left"/>
        <w:rPr>
          <w:rFonts w:ascii="仿宋" w:hAnsi="仿宋" w:eastAsia="仿宋"/>
          <w:sz w:val="36"/>
          <w:szCs w:val="36"/>
        </w:rPr>
      </w:pPr>
      <w:r>
        <w:rPr>
          <w:rFonts w:hint="eastAsia" w:ascii="仿宋" w:hAnsi="仿宋" w:eastAsia="仿宋"/>
          <w:sz w:val="36"/>
          <w:szCs w:val="36"/>
        </w:rPr>
        <w:t>成果报告</w:t>
      </w:r>
    </w:p>
    <w:p w14:paraId="65DBC90B">
      <w:pPr>
        <w:spacing w:line="360" w:lineRule="auto"/>
        <w:ind w:firstLine="480" w:firstLineChars="200"/>
        <w:jc w:val="left"/>
        <w:rPr>
          <w:rFonts w:ascii="仿宋" w:hAnsi="仿宋" w:eastAsia="仿宋" w:cs="楷体_GB2312"/>
          <w:color w:val="000000"/>
          <w:sz w:val="24"/>
        </w:rPr>
      </w:pPr>
      <w:r>
        <w:rPr>
          <w:rFonts w:hint="eastAsia" w:ascii="仿宋" w:hAnsi="仿宋" w:eastAsia="仿宋" w:cs="楷体_GB2312"/>
          <w:color w:val="000000"/>
          <w:sz w:val="24"/>
        </w:rPr>
        <w:t>点击业务操作—成果报告，可以显示学习者获得的所有学习成果。</w:t>
      </w:r>
    </w:p>
    <w:p w14:paraId="30D9363C">
      <w:pPr>
        <w:spacing w:line="360" w:lineRule="auto"/>
        <w:jc w:val="left"/>
        <w:rPr>
          <w:rFonts w:ascii="仿宋" w:hAnsi="仿宋" w:eastAsia="仿宋" w:cs="楷体_GB2312"/>
          <w:color w:val="000000"/>
          <w:sz w:val="24"/>
        </w:rPr>
      </w:pPr>
      <w:r>
        <w:rPr>
          <w:rFonts w:hint="eastAsia" w:ascii="仿宋" w:hAnsi="仿宋" w:eastAsia="仿宋" w:cs="楷体_GB2312"/>
          <w:color w:val="000000"/>
          <w:sz w:val="24"/>
        </w:rPr>
        <w:t>（1）点击“报告编号”或者“下载”自动在浏览器下载“P</w:t>
      </w:r>
      <w:r>
        <w:rPr>
          <w:rFonts w:ascii="仿宋" w:hAnsi="仿宋" w:eastAsia="仿宋" w:cs="楷体_GB2312"/>
          <w:color w:val="000000"/>
          <w:sz w:val="24"/>
        </w:rPr>
        <w:t>DF</w:t>
      </w:r>
      <w:r>
        <w:rPr>
          <w:rFonts w:hint="eastAsia" w:ascii="仿宋" w:hAnsi="仿宋" w:eastAsia="仿宋" w:cs="楷体_GB2312"/>
          <w:color w:val="000000"/>
          <w:sz w:val="24"/>
        </w:rPr>
        <w:t>格式的学习成果报告”。</w:t>
      </w:r>
    </w:p>
    <w:p w14:paraId="6E21A2B9">
      <w:pPr>
        <w:spacing w:line="360" w:lineRule="auto"/>
        <w:jc w:val="left"/>
        <w:rPr>
          <w:rFonts w:ascii="仿宋" w:hAnsi="仿宋" w:eastAsia="仿宋" w:cs="楷体_GB2312"/>
          <w:color w:val="000000"/>
          <w:sz w:val="24"/>
        </w:rPr>
      </w:pPr>
      <w:r>
        <w:drawing>
          <wp:inline distT="0" distB="0" distL="0" distR="0">
            <wp:extent cx="5274310" cy="1387475"/>
            <wp:effectExtent l="0" t="0" r="254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8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8BA37B">
      <w:pPr>
        <w:rPr>
          <w:rFonts w:hint="eastAsia" w:ascii="楷体" w:hAnsi="楷体" w:eastAsia="楷体" w:cs="楷体"/>
        </w:rPr>
      </w:pPr>
    </w:p>
    <w:sectPr>
      <w:type w:val="continuous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黑体_GBK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95D604">
    <w:pPr>
      <w:pStyle w:val="3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0" name="文本框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76FB128">
                          <w:pPr>
                            <w:pStyle w:val="3"/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>
                            <w:t>5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LNJ&#10;WO7QAAAABQEAAA8AAAAAAAAAAQAgAAAAIgAAAGRycy9kb3ducmV2LnhtbFBLAQIUABQAAAAIAIdO&#10;4kAyUnG/KwIAAFcEAAAOAAAAAAAAAAEAIAAAAB8BAABkcnMvZTJvRG9jLnhtbFBLBQYAAAAABgAG&#10;AFkBAAC8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76FB128">
                    <w:pPr>
                      <w:pStyle w:val="3"/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>
                      <w:t>5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0214B73"/>
    <w:multiLevelType w:val="multilevel"/>
    <w:tmpl w:val="20214B73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decimal"/>
      <w:isLgl/>
      <w:lvlText w:val="%1.%2"/>
      <w:lvlJc w:val="left"/>
      <w:pPr>
        <w:ind w:left="480" w:hanging="480"/>
      </w:pPr>
      <w:rPr>
        <w:rFonts w:hint="default"/>
      </w:rPr>
    </w:lvl>
    <w:lvl w:ilvl="2" w:tentative="0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 w:tentative="0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 w:tentative="0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 w:tentative="0">
      <w:start w:val="1"/>
      <w:numFmt w:val="decimal"/>
      <w:isLgl/>
      <w:lvlText w:val="%1.%2.%3.%4.%5.%6.%7"/>
      <w:lvlJc w:val="left"/>
      <w:pPr>
        <w:ind w:left="1800" w:hanging="1800"/>
      </w:pPr>
      <w:rPr>
        <w:rFonts w:hint="default"/>
      </w:rPr>
    </w:lvl>
    <w:lvl w:ilvl="7" w:tentative="0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 w:tentative="0">
      <w:start w:val="1"/>
      <w:numFmt w:val="decimal"/>
      <w:isLgl/>
      <w:lvlText w:val="%1.%2.%3.%4.%5.%6.%7.%8.%9"/>
      <w:lvlJc w:val="left"/>
      <w:pPr>
        <w:ind w:left="2160" w:hanging="21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VhYzk2OGYzZDA4Y2E5YTY5M2M2Y2JlZWY2MjlmMzYifQ=="/>
  </w:docVars>
  <w:rsids>
    <w:rsidRoot w:val="45706092"/>
    <w:rsid w:val="00032395"/>
    <w:rsid w:val="000A7014"/>
    <w:rsid w:val="000D59DB"/>
    <w:rsid w:val="0010205C"/>
    <w:rsid w:val="001116FE"/>
    <w:rsid w:val="001450E3"/>
    <w:rsid w:val="00153EC9"/>
    <w:rsid w:val="00194A87"/>
    <w:rsid w:val="001A3C13"/>
    <w:rsid w:val="00241981"/>
    <w:rsid w:val="0025039F"/>
    <w:rsid w:val="00250608"/>
    <w:rsid w:val="00254CB2"/>
    <w:rsid w:val="0027229C"/>
    <w:rsid w:val="002C0047"/>
    <w:rsid w:val="002C2A31"/>
    <w:rsid w:val="002E5BD3"/>
    <w:rsid w:val="0031485A"/>
    <w:rsid w:val="003401D9"/>
    <w:rsid w:val="003709F5"/>
    <w:rsid w:val="00397711"/>
    <w:rsid w:val="003A1E36"/>
    <w:rsid w:val="003D136F"/>
    <w:rsid w:val="003F0ECE"/>
    <w:rsid w:val="00406126"/>
    <w:rsid w:val="004165FD"/>
    <w:rsid w:val="00427B21"/>
    <w:rsid w:val="00537822"/>
    <w:rsid w:val="0056414E"/>
    <w:rsid w:val="005748D0"/>
    <w:rsid w:val="005B6E89"/>
    <w:rsid w:val="005C2FB8"/>
    <w:rsid w:val="006B275A"/>
    <w:rsid w:val="00704BC1"/>
    <w:rsid w:val="007402CA"/>
    <w:rsid w:val="00786C43"/>
    <w:rsid w:val="008877A9"/>
    <w:rsid w:val="00891E61"/>
    <w:rsid w:val="008C2051"/>
    <w:rsid w:val="008C5453"/>
    <w:rsid w:val="008D6F00"/>
    <w:rsid w:val="008E38A6"/>
    <w:rsid w:val="00924CB7"/>
    <w:rsid w:val="00944068"/>
    <w:rsid w:val="00961877"/>
    <w:rsid w:val="009C066F"/>
    <w:rsid w:val="009F10A3"/>
    <w:rsid w:val="00A46E87"/>
    <w:rsid w:val="00A736B6"/>
    <w:rsid w:val="00A80D58"/>
    <w:rsid w:val="00AE6688"/>
    <w:rsid w:val="00AF7EB8"/>
    <w:rsid w:val="00B21BB8"/>
    <w:rsid w:val="00B34D66"/>
    <w:rsid w:val="00B93017"/>
    <w:rsid w:val="00BD1290"/>
    <w:rsid w:val="00BF0740"/>
    <w:rsid w:val="00C7554A"/>
    <w:rsid w:val="00C80B2A"/>
    <w:rsid w:val="00CB0A35"/>
    <w:rsid w:val="00D005B4"/>
    <w:rsid w:val="00D00C6E"/>
    <w:rsid w:val="00D14913"/>
    <w:rsid w:val="00D3320F"/>
    <w:rsid w:val="00D436B7"/>
    <w:rsid w:val="00DA6E74"/>
    <w:rsid w:val="00E334D1"/>
    <w:rsid w:val="00E554D1"/>
    <w:rsid w:val="00EA6BBB"/>
    <w:rsid w:val="00EB230C"/>
    <w:rsid w:val="00EB7FF2"/>
    <w:rsid w:val="00F14886"/>
    <w:rsid w:val="00F16FD1"/>
    <w:rsid w:val="00F944B0"/>
    <w:rsid w:val="00FC3AF8"/>
    <w:rsid w:val="00FC4C9B"/>
    <w:rsid w:val="00FD3922"/>
    <w:rsid w:val="00FF034B"/>
    <w:rsid w:val="010E23B9"/>
    <w:rsid w:val="011B6997"/>
    <w:rsid w:val="017442FA"/>
    <w:rsid w:val="01FA1447"/>
    <w:rsid w:val="020821B3"/>
    <w:rsid w:val="02426035"/>
    <w:rsid w:val="02801C3F"/>
    <w:rsid w:val="03032F9B"/>
    <w:rsid w:val="03712852"/>
    <w:rsid w:val="05437E0D"/>
    <w:rsid w:val="05E41A4E"/>
    <w:rsid w:val="07261BF2"/>
    <w:rsid w:val="07300CC3"/>
    <w:rsid w:val="074309F6"/>
    <w:rsid w:val="075B5E5F"/>
    <w:rsid w:val="07854B6B"/>
    <w:rsid w:val="07AA0200"/>
    <w:rsid w:val="08766BA9"/>
    <w:rsid w:val="091F5D22"/>
    <w:rsid w:val="0A010EE7"/>
    <w:rsid w:val="0A5D5B9E"/>
    <w:rsid w:val="0A6F38B0"/>
    <w:rsid w:val="0A82556A"/>
    <w:rsid w:val="0ABA2D7D"/>
    <w:rsid w:val="0AFF2E86"/>
    <w:rsid w:val="0B633415"/>
    <w:rsid w:val="0CCE078F"/>
    <w:rsid w:val="0CDC7B9F"/>
    <w:rsid w:val="0D1C03B8"/>
    <w:rsid w:val="0D731909"/>
    <w:rsid w:val="0D996CD3"/>
    <w:rsid w:val="0E9E0F35"/>
    <w:rsid w:val="0EAB1DA6"/>
    <w:rsid w:val="0EDB59B8"/>
    <w:rsid w:val="0F0F7410"/>
    <w:rsid w:val="0F410503"/>
    <w:rsid w:val="0F5C3C6E"/>
    <w:rsid w:val="10816B6F"/>
    <w:rsid w:val="10F01AD4"/>
    <w:rsid w:val="12717F25"/>
    <w:rsid w:val="128B619D"/>
    <w:rsid w:val="129C0085"/>
    <w:rsid w:val="13073FF4"/>
    <w:rsid w:val="130F3E82"/>
    <w:rsid w:val="13436E7D"/>
    <w:rsid w:val="13A24CF6"/>
    <w:rsid w:val="14B940A6"/>
    <w:rsid w:val="15416B34"/>
    <w:rsid w:val="15461036"/>
    <w:rsid w:val="158639C2"/>
    <w:rsid w:val="15897F1C"/>
    <w:rsid w:val="1736094D"/>
    <w:rsid w:val="17A0779F"/>
    <w:rsid w:val="17A90BD2"/>
    <w:rsid w:val="18023FB5"/>
    <w:rsid w:val="18784278"/>
    <w:rsid w:val="18FA2E2B"/>
    <w:rsid w:val="192817FA"/>
    <w:rsid w:val="1940743F"/>
    <w:rsid w:val="19BF4E1A"/>
    <w:rsid w:val="19E436AC"/>
    <w:rsid w:val="1AB05F4B"/>
    <w:rsid w:val="1B6F354F"/>
    <w:rsid w:val="1B8C2514"/>
    <w:rsid w:val="1C4A73D4"/>
    <w:rsid w:val="1D5E5510"/>
    <w:rsid w:val="1D774AFE"/>
    <w:rsid w:val="1E026ABD"/>
    <w:rsid w:val="1E14059F"/>
    <w:rsid w:val="1F236D4A"/>
    <w:rsid w:val="1F8466FC"/>
    <w:rsid w:val="1FB97650"/>
    <w:rsid w:val="1FC221D7"/>
    <w:rsid w:val="1FFB7C68"/>
    <w:rsid w:val="208E4638"/>
    <w:rsid w:val="20C444FE"/>
    <w:rsid w:val="21A03450"/>
    <w:rsid w:val="21C72D94"/>
    <w:rsid w:val="231D56F3"/>
    <w:rsid w:val="237F2417"/>
    <w:rsid w:val="23FC5D5D"/>
    <w:rsid w:val="24CA1A65"/>
    <w:rsid w:val="253D4324"/>
    <w:rsid w:val="2554661B"/>
    <w:rsid w:val="25F64355"/>
    <w:rsid w:val="261C6B69"/>
    <w:rsid w:val="265C0D35"/>
    <w:rsid w:val="276A7481"/>
    <w:rsid w:val="279664C8"/>
    <w:rsid w:val="297F50E3"/>
    <w:rsid w:val="2A806618"/>
    <w:rsid w:val="2AAA63D5"/>
    <w:rsid w:val="2AB86310"/>
    <w:rsid w:val="2AE075EB"/>
    <w:rsid w:val="2BCB41DE"/>
    <w:rsid w:val="2BD775AB"/>
    <w:rsid w:val="2BFA5278"/>
    <w:rsid w:val="2C0F1AB6"/>
    <w:rsid w:val="2D533DD1"/>
    <w:rsid w:val="2DDB4C35"/>
    <w:rsid w:val="2E3F51C4"/>
    <w:rsid w:val="2EA14215"/>
    <w:rsid w:val="2F9A266D"/>
    <w:rsid w:val="308F068A"/>
    <w:rsid w:val="30BF34BA"/>
    <w:rsid w:val="31837ABD"/>
    <w:rsid w:val="32A7587E"/>
    <w:rsid w:val="32ED1106"/>
    <w:rsid w:val="333D3D6B"/>
    <w:rsid w:val="3344463D"/>
    <w:rsid w:val="34C41F81"/>
    <w:rsid w:val="34D12951"/>
    <w:rsid w:val="36826596"/>
    <w:rsid w:val="36A74327"/>
    <w:rsid w:val="36B41D86"/>
    <w:rsid w:val="36EB640D"/>
    <w:rsid w:val="37665EA7"/>
    <w:rsid w:val="37CE5F89"/>
    <w:rsid w:val="37EA6BA9"/>
    <w:rsid w:val="383F3F1F"/>
    <w:rsid w:val="39202096"/>
    <w:rsid w:val="392D2E9C"/>
    <w:rsid w:val="39A072D4"/>
    <w:rsid w:val="39FC040D"/>
    <w:rsid w:val="3A185C81"/>
    <w:rsid w:val="3A5F68BF"/>
    <w:rsid w:val="3A7B1E73"/>
    <w:rsid w:val="3B675D5A"/>
    <w:rsid w:val="3B7B7EC5"/>
    <w:rsid w:val="3BA66882"/>
    <w:rsid w:val="3BB1271E"/>
    <w:rsid w:val="3C217B13"/>
    <w:rsid w:val="3C6109FB"/>
    <w:rsid w:val="3CDD2778"/>
    <w:rsid w:val="3D0B6362"/>
    <w:rsid w:val="3D145791"/>
    <w:rsid w:val="3D89645B"/>
    <w:rsid w:val="3DF77869"/>
    <w:rsid w:val="3E4F1453"/>
    <w:rsid w:val="3F4C3B96"/>
    <w:rsid w:val="400461AB"/>
    <w:rsid w:val="402E2FB1"/>
    <w:rsid w:val="40545B34"/>
    <w:rsid w:val="40AF3267"/>
    <w:rsid w:val="40E45D93"/>
    <w:rsid w:val="40F005A0"/>
    <w:rsid w:val="415642BB"/>
    <w:rsid w:val="415F418C"/>
    <w:rsid w:val="417A4402"/>
    <w:rsid w:val="41F36599"/>
    <w:rsid w:val="420E5D84"/>
    <w:rsid w:val="424D3C05"/>
    <w:rsid w:val="43160791"/>
    <w:rsid w:val="434A21E9"/>
    <w:rsid w:val="43783798"/>
    <w:rsid w:val="44CF06C3"/>
    <w:rsid w:val="44E77DFD"/>
    <w:rsid w:val="4509760F"/>
    <w:rsid w:val="45706092"/>
    <w:rsid w:val="45C93A9A"/>
    <w:rsid w:val="45D479B3"/>
    <w:rsid w:val="47847815"/>
    <w:rsid w:val="47FB1524"/>
    <w:rsid w:val="48181929"/>
    <w:rsid w:val="48293680"/>
    <w:rsid w:val="4880725F"/>
    <w:rsid w:val="49760A63"/>
    <w:rsid w:val="49940662"/>
    <w:rsid w:val="4A1E4078"/>
    <w:rsid w:val="4A1E4E74"/>
    <w:rsid w:val="4AE80AF4"/>
    <w:rsid w:val="4C1F5D82"/>
    <w:rsid w:val="4CAC7A71"/>
    <w:rsid w:val="4CDC27C4"/>
    <w:rsid w:val="4D9013F1"/>
    <w:rsid w:val="4DB5720C"/>
    <w:rsid w:val="4DC64B62"/>
    <w:rsid w:val="4E31394C"/>
    <w:rsid w:val="4E5320A3"/>
    <w:rsid w:val="4E6525CD"/>
    <w:rsid w:val="4E842DF9"/>
    <w:rsid w:val="500B71A4"/>
    <w:rsid w:val="50446159"/>
    <w:rsid w:val="51B627E8"/>
    <w:rsid w:val="51F13236"/>
    <w:rsid w:val="524E3378"/>
    <w:rsid w:val="52C64CB2"/>
    <w:rsid w:val="530507DF"/>
    <w:rsid w:val="54646E83"/>
    <w:rsid w:val="546F7664"/>
    <w:rsid w:val="55E24503"/>
    <w:rsid w:val="55E71A98"/>
    <w:rsid w:val="55F81E23"/>
    <w:rsid w:val="56F73852"/>
    <w:rsid w:val="574C257C"/>
    <w:rsid w:val="5853793A"/>
    <w:rsid w:val="58C227D0"/>
    <w:rsid w:val="58C23C16"/>
    <w:rsid w:val="58EA204C"/>
    <w:rsid w:val="594013C9"/>
    <w:rsid w:val="59453CFF"/>
    <w:rsid w:val="599B262D"/>
    <w:rsid w:val="59BD63EF"/>
    <w:rsid w:val="59EB2528"/>
    <w:rsid w:val="5A1869D5"/>
    <w:rsid w:val="5A607034"/>
    <w:rsid w:val="5AE96334"/>
    <w:rsid w:val="5CD43669"/>
    <w:rsid w:val="5CF20ED1"/>
    <w:rsid w:val="5D20692B"/>
    <w:rsid w:val="5E31427A"/>
    <w:rsid w:val="5FC53563"/>
    <w:rsid w:val="5FE8677E"/>
    <w:rsid w:val="5FFE462F"/>
    <w:rsid w:val="602F2F6C"/>
    <w:rsid w:val="603453C3"/>
    <w:rsid w:val="60C43183"/>
    <w:rsid w:val="613F5C2C"/>
    <w:rsid w:val="6186668A"/>
    <w:rsid w:val="61926243"/>
    <w:rsid w:val="63A86D8C"/>
    <w:rsid w:val="646D1D84"/>
    <w:rsid w:val="64C25C2B"/>
    <w:rsid w:val="64ED2EAC"/>
    <w:rsid w:val="659A379F"/>
    <w:rsid w:val="660E1629"/>
    <w:rsid w:val="661B2163"/>
    <w:rsid w:val="66951AD3"/>
    <w:rsid w:val="66AB5ED1"/>
    <w:rsid w:val="68340E07"/>
    <w:rsid w:val="68AD6BF3"/>
    <w:rsid w:val="68CD172C"/>
    <w:rsid w:val="69502F68"/>
    <w:rsid w:val="6B4B3949"/>
    <w:rsid w:val="6BA5118B"/>
    <w:rsid w:val="6C09560A"/>
    <w:rsid w:val="6C5152EC"/>
    <w:rsid w:val="6CBD0B25"/>
    <w:rsid w:val="6CCC534B"/>
    <w:rsid w:val="6CDE21E4"/>
    <w:rsid w:val="6D841481"/>
    <w:rsid w:val="6DA60F65"/>
    <w:rsid w:val="6E296A07"/>
    <w:rsid w:val="6E3000AA"/>
    <w:rsid w:val="6E7353B3"/>
    <w:rsid w:val="6E7D7936"/>
    <w:rsid w:val="6E815892"/>
    <w:rsid w:val="6EBE3907"/>
    <w:rsid w:val="6EF70352"/>
    <w:rsid w:val="6F28462B"/>
    <w:rsid w:val="6F2B0871"/>
    <w:rsid w:val="6F960AC4"/>
    <w:rsid w:val="70105265"/>
    <w:rsid w:val="70214B2C"/>
    <w:rsid w:val="7028708E"/>
    <w:rsid w:val="7041497F"/>
    <w:rsid w:val="70B322BD"/>
    <w:rsid w:val="71A335B5"/>
    <w:rsid w:val="72047ACE"/>
    <w:rsid w:val="7221310F"/>
    <w:rsid w:val="722D53EB"/>
    <w:rsid w:val="72E62060"/>
    <w:rsid w:val="73AD0502"/>
    <w:rsid w:val="74E20287"/>
    <w:rsid w:val="750D2EF3"/>
    <w:rsid w:val="751F49D4"/>
    <w:rsid w:val="75251CC7"/>
    <w:rsid w:val="75502B86"/>
    <w:rsid w:val="759C3461"/>
    <w:rsid w:val="75A53DAC"/>
    <w:rsid w:val="76934BEC"/>
    <w:rsid w:val="77307600"/>
    <w:rsid w:val="776F2E0B"/>
    <w:rsid w:val="794D46DF"/>
    <w:rsid w:val="79781377"/>
    <w:rsid w:val="79FC1788"/>
    <w:rsid w:val="7A410629"/>
    <w:rsid w:val="7A715CD2"/>
    <w:rsid w:val="7A865A26"/>
    <w:rsid w:val="7B6C08F2"/>
    <w:rsid w:val="7BBA6B3F"/>
    <w:rsid w:val="7BCB28E0"/>
    <w:rsid w:val="7C3C3707"/>
    <w:rsid w:val="7C415A33"/>
    <w:rsid w:val="7C8B6DF3"/>
    <w:rsid w:val="7CCF6CE0"/>
    <w:rsid w:val="7E404D4A"/>
    <w:rsid w:val="7E8D6E52"/>
    <w:rsid w:val="7F973C12"/>
    <w:rsid w:val="7FCC39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qFormat/>
    <w:uiPriority w:val="0"/>
    <w:rPr>
      <w:sz w:val="18"/>
      <w:szCs w:val="18"/>
    </w:rPr>
  </w:style>
  <w:style w:type="paragraph" w:styleId="3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FollowedHyperlink"/>
    <w:basedOn w:val="6"/>
    <w:qFormat/>
    <w:uiPriority w:val="0"/>
    <w:rPr>
      <w:color w:val="800080"/>
      <w:u w:val="single"/>
    </w:rPr>
  </w:style>
  <w:style w:type="character" w:styleId="8">
    <w:name w:val="Hyperlink"/>
    <w:qFormat/>
    <w:uiPriority w:val="0"/>
    <w:rPr>
      <w:color w:val="0000FF"/>
      <w:u w:val="single"/>
    </w:rPr>
  </w:style>
  <w:style w:type="character" w:customStyle="1" w:styleId="9">
    <w:name w:val="批注框文本 字符"/>
    <w:basedOn w:val="6"/>
    <w:link w:val="2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10.pn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HP</Company>
  <Pages>5</Pages>
  <Words>459</Words>
  <Characters>506</Characters>
  <Lines>4</Lines>
  <Paragraphs>1</Paragraphs>
  <TotalTime>103</TotalTime>
  <ScaleCrop>false</ScaleCrop>
  <LinksUpToDate>false</LinksUpToDate>
  <CharactersWithSpaces>506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2020-12-28T09:08:00Z</dcterms:created>
  <dc:creator>sue</dc:creator>
  <cp:lastModifiedBy>王婷</cp:lastModifiedBy>
  <cp:lastPrinted>2021-04-28T07:45:00Z</cp:lastPrinted>
  <dcterms:modified xsi:type="dcterms:W3CDTF">2025-12-11T00:49:03Z</dcterms:modified>
  <cp:revision>116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786E3E720C0047C0AF37843C2FE0527A_13</vt:lpwstr>
  </property>
</Properties>
</file>